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3"/>
        <w:ind w:left="0" w:right="0" w:firstLine="0"/>
        <w:jc w:val="center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Analiza učenika osnovnih škola i učešća učenika 1. razreda u ukupnom broju stanovnika Novog Pazara, Čačka i Kraljeva</w:t>
      </w:r>
      <w:r/>
    </w:p>
    <w:p>
      <w:pPr>
        <w:ind w:left="0" w:right="0" w:firstLine="0"/>
        <w:jc w:val="both"/>
        <w:spacing w:before="240" w:after="240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Kretanje broja učenika u osnovnim školama i učešće učenika 1. razreda u ukupnoj populaciji predstavljaju ključne indikatore demografskih i društvenih trendova. Ovi pokazatelji pružaju uvid u dinamiku nataliteta, obrazovne strukture i buduće radne snage u o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dređenim zajednicama, kao i u stepen demografske održivosti i regionalne razlike.</w:t>
      </w:r>
      <w:r/>
    </w:p>
    <w:p>
      <w:pPr>
        <w:ind w:left="0" w:right="0" w:firstLine="0"/>
        <w:jc w:val="both"/>
        <w:spacing w:before="240" w:after="24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Podaci su preuzeti sa internet prezentacije Republičkog zavoda za statistiku: 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hyperlink r:id="rId11" w:tooltip="https://data.stat.gov.rs/Home/Result/11020301?languageCode=sr-Cyrl" w:history="1">
        <w:r>
          <w:rPr>
            <w:rStyle w:val="977"/>
            <w:rFonts w:ascii="Times New Roman" w:hAnsi="Times New Roman" w:eastAsia="Times New Roman" w:cs="Times New Roman"/>
            <w:sz w:val="24"/>
            <w:highlight w:val="none"/>
          </w:rPr>
          <w:t xml:space="preserve">https://data.stat.gov.rs/Home/Result/11020301?languageCode=sr-Cyrl</w:t>
        </w:r>
        <w:r>
          <w:rPr>
            <w:rStyle w:val="977"/>
            <w:rFonts w:ascii="Times New Roman" w:hAnsi="Times New Roman" w:eastAsia="Times New Roman" w:cs="Times New Roman"/>
            <w:sz w:val="24"/>
            <w:highlight w:val="none"/>
          </w:rPr>
        </w:r>
      </w:hyperlink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Ova analiza ima za cilj da prikaže:</w:t>
      </w:r>
      <w:r/>
    </w:p>
    <w:p>
      <w:pPr>
        <w:pStyle w:val="999"/>
        <w:numPr>
          <w:ilvl w:val="0"/>
          <w:numId w:val="1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Ukupan broj učenika osnovnih škola: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Kroz dekadu, pratimo opadanje ili porast broja učenika u osnovnom obrazovanju kao refleksiju nataliteta, migracija i opšte demografske situacije.</w:t>
      </w:r>
      <w:r/>
    </w:p>
    <w:p>
      <w:pPr>
        <w:pStyle w:val="999"/>
        <w:numPr>
          <w:ilvl w:val="0"/>
          <w:numId w:val="2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Broj učenika 1. razreda osnovne škole: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Ovaj pokazatelj je posebno važan jer direktno ukazuje na trenutni trend nataliteta i demografsku stabilnost.</w:t>
      </w:r>
      <w:r/>
    </w:p>
    <w:p>
      <w:pPr>
        <w:pStyle w:val="999"/>
        <w:numPr>
          <w:ilvl w:val="0"/>
          <w:numId w:val="3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Učešće učenika 1. razreda u ukupnom broju stanovnika: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Pored kvantitativne analize, relativni podaci omogućavaju poređenje između različitih zajednica i njihovog demografskog potencijala.</w:t>
      </w:r>
      <w:r/>
    </w:p>
    <w:p>
      <w:pPr>
        <w:pStyle w:val="823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Zašto je analiza važna?</w:t>
      </w:r>
      <w:r/>
    </w:p>
    <w:p>
      <w:pPr>
        <w:pStyle w:val="825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1. Demografska slika i budućnost populacije</w:t>
      </w:r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Broj učenika u osnovnim školama, posebno učenika 1. razreda, direktno je povezan sa stopom rađanja i demografskim priraštajem. Pad broja učenika signalizuje smanjenje nataliteta, dok rast može ukazivati na demografski oporavak ili priliv stanovništva.</w:t>
      </w:r>
      <w:r/>
    </w:p>
    <w:p>
      <w:pPr>
        <w:pStyle w:val="825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2. Regionalne razlike</w:t>
      </w:r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U Srbiji su izražene razlike između urbanih i ruralnih sredina, kao i između razvijenijih i manje razvijenih regiona. Ova analiza omogućava uvid u to kako demografski i socio-ekonomski faktori utiču na broj učenika i obrazovni sistem u različitim zajednica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ma.</w:t>
      </w:r>
      <w:r/>
    </w:p>
    <w:p>
      <w:pPr>
        <w:pStyle w:val="825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3. Uticaj migracija</w:t>
      </w:r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Migracije, kako unutrašnje (iz manjih opština u veće gradove), tako i međunarodne, značajno utiču na broj učenika. Uključivanjem ovog pokazatelja možemo identifikovati oblasti sa intenzivnijim migracionim procesima.</w:t>
      </w:r>
      <w:r/>
    </w:p>
    <w:p>
      <w:pPr>
        <w:pStyle w:val="823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Razlozi za odvojeno posmatranje gradova i opština</w:t>
      </w:r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Analizom gradova Novi Pazar, Kraljevo i Čačak odvojeno od manjih opština (Tutin, Sjenica, Nova Varoš, Prijepolje, Priboj i Raška) omogućava se preciznije razumevanje regionalnih razlika:</w:t>
      </w:r>
      <w:r/>
    </w:p>
    <w:p>
      <w:pPr>
        <w:pStyle w:val="999"/>
        <w:numPr>
          <w:ilvl w:val="0"/>
          <w:numId w:val="4"/>
        </w:numPr>
        <w:ind w:right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Gradovi kao regionalni centri: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Novi Pazar, Kraljevo i Čačak su veći urbani centri sa razvijenijom ekonomijom, infrastrukturom i obrazovnim kapacitetima, što ih stavlja u povoljniju poziciju u poređenju sa manjim opštinama.</w:t>
      </w:r>
      <w:r/>
    </w:p>
    <w:p>
      <w:pPr>
        <w:pStyle w:val="999"/>
        <w:numPr>
          <w:ilvl w:val="0"/>
          <w:numId w:val="5"/>
        </w:numPr>
        <w:ind w:right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Manje opštine kao ruralne zajednice: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Tutin, Sjenica, Nova Varoš i ostale opštine suočavaju se sa većim izazovima u pogledu demografskog pada, migracija i održivosti lokalnih obrazovnih institucija.</w:t>
      </w:r>
      <w:r/>
    </w:p>
    <w:p>
      <w:pPr>
        <w:pStyle w:val="999"/>
        <w:numPr>
          <w:ilvl w:val="0"/>
          <w:numId w:val="6"/>
        </w:numPr>
        <w:ind w:right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Migracione razlike: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Gradovi beleže manji odliv stanovništva i relativno stabilnije brojke učenika, dok manje opštine često pate od demografskog pražnjenja i zatvaranja škola.</w:t>
      </w:r>
      <w:r/>
    </w:p>
    <w:p>
      <w:pPr>
        <w:pStyle w:val="823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Cilj analize</w:t>
      </w:r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Ova analiza pruža uvid u:</w:t>
      </w:r>
      <w:r/>
    </w:p>
    <w:p>
      <w:pPr>
        <w:pStyle w:val="999"/>
        <w:numPr>
          <w:ilvl w:val="0"/>
          <w:numId w:val="7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Opšte demografske trendove: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Kako se broj učenika menja u vremenu, koji su glavni uzroci tih promena i kako oni utiču na obrazovni sistem.</w:t>
      </w:r>
      <w:r/>
    </w:p>
    <w:p>
      <w:pPr>
        <w:pStyle w:val="999"/>
        <w:numPr>
          <w:ilvl w:val="0"/>
          <w:numId w:val="8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Razlike među zajednicama: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Uticaj lokalnih ekonomskih, kulturnih i migracionih faktora na broj učenika.</w:t>
      </w:r>
      <w:r/>
    </w:p>
    <w:p>
      <w:pPr>
        <w:pStyle w:val="999"/>
        <w:numPr>
          <w:ilvl w:val="0"/>
          <w:numId w:val="9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Predviđanja za budućnost: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Kako trenutni trendovi mogu oblikovati budućnost populacije i obrazovnog sistema u ovim gradovima i opštinama.</w:t>
      </w:r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Ova uvodna analiza postavlja osnovu za detaljno razmatranje svake opštine i grada pojedinačno, sa fokusom na specifične izazove i potencijale svakog regiona.</w:t>
      </w:r>
      <w:r/>
    </w:p>
    <w:p>
      <w:pPr>
        <w:shd w:val="nil" w:color="auto"/>
      </w:pPr>
      <w:r>
        <w:br w:type="page" w:clear="all"/>
      </w:r>
      <w:r/>
    </w:p>
    <w:p>
      <w:pPr>
        <w:shd w:val="nil" w:color="auto"/>
      </w:pPr>
      <w:r/>
      <w:r/>
    </w:p>
    <w:p>
      <w:pPr>
        <w:pStyle w:val="823"/>
        <w:ind w:left="0" w:right="0" w:firstLine="0"/>
        <w:spacing w:before="281" w:after="281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  <w:t xml:space="preserve">I Analiza kretanja broja učenika osnovnih škola i broja upisanih u 1. razred osnovne škole za grad Novi Pazar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Obrazovni sistem, posebno osnovno obrazovanje, predstavlja ključni segment razvoja svakog društva i jedan od najvažnijih pokazatelja demografske i socio-ekonomske stabilnosti. Praćenje broja učenika osnovnih škola i učenika 1. razreda u lokalnim zajednicam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a pruža uvid u stanje nataliteta, migracionih tokova i održivosti lokalne populacije. Takođe, omogućava prepoznavanje obrazovnih trendova i izazova s kojima se suočavaju zajednice poput Novog Pazara.</w:t>
      </w:r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Ova analiza fokusira se na dugoročne promene broja učenika osnovnih škola i učenika 1. razreda u Novom Pazaru. Kroz uporedne indekse i bazične indekse, identifikovani su ključni trendovi i dinamičke promene u poslednjoj deceniji. Poseban akcenat stavljen j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e na projekcije za 2031. i 2041. godinu, kako bi se bolje sagledale buduće potrebe obrazovnog sistema i definisale mere za unapređenje demografske i obrazovne stabilnosti.</w:t>
      </w:r>
      <w:r/>
    </w:p>
    <w:p>
      <w:pPr>
        <w:ind w:left="0" w:right="0" w:firstLine="0"/>
        <w:jc w:val="both"/>
        <w:spacing w:before="240" w:after="240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Za Novi Pazar, kao jedan od gradova sa specifičnom demografskom i kulturnom strukturom u Srbiji, analiza broja učenika pruža i dodatne uvide u šire društvene tokove, uključujući uticaj nataliteta, migracija i regionalnog razvoja na obrazovanje. Ova analiza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ne služi samo za identifikaciju izazova, već i za prepoznavanje mogućnosti za unapređenje obrazovnog sistema i bolje planiranje lokalne politike razvoja.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/>
    </w:p>
    <w:p>
      <w:pPr>
        <w:pStyle w:val="823"/>
        <w:ind w:left="0" w:right="0" w:firstLine="0"/>
        <w:jc w:val="center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Tabela sa vrednostima po godinama za Novi Pazar</w:t>
      </w:r>
      <w:r/>
    </w:p>
    <w:tbl>
      <w:tblPr>
        <w:tblStyle w:val="851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560"/>
        <w:gridCol w:w="2190"/>
        <w:gridCol w:w="243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Školska godina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Ukupan broj učenika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Broj učenika 1. razreda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2014/15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12.572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1.516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2015/16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12.574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1.612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2016/17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12.553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1.528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2017/18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12.572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1.522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2018/19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12.372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1.458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2019/20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12.146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1.486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2020/21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12.023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1.514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2021/22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11.781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1.430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2022/23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11.675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1.406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2023/24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11.364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1.331</w:t>
            </w:r>
            <w:r/>
          </w:p>
        </w:tc>
      </w:tr>
    </w:tbl>
    <w:p>
      <w:pPr>
        <w:pStyle w:val="823"/>
        <w:ind w:left="0" w:right="0" w:firstLine="0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Komentari na tabelu</w:t>
      </w:r>
      <w:r/>
    </w:p>
    <w:p>
      <w:pPr>
        <w:pStyle w:val="825"/>
        <w:ind w:left="0" w:right="0" w:firstLine="0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Ukupan broj učenika (2014/15–2023/24):</w:t>
      </w:r>
      <w:r/>
    </w:p>
    <w:p>
      <w:pPr>
        <w:pStyle w:val="999"/>
        <w:numPr>
          <w:ilvl w:val="0"/>
          <w:numId w:val="10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Ukupan broj učenika opao je sa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12.572 (2014/15)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na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11.364 (2023/24)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što predstavlja smanjenje od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1.208 učenika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ili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9,62%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u periodu od 9 godina.</w:t>
      </w:r>
      <w:r/>
    </w:p>
    <w:p>
      <w:pPr>
        <w:pStyle w:val="999"/>
        <w:numPr>
          <w:ilvl w:val="0"/>
          <w:numId w:val="11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Pad je postepen, ali kontinuiran, sa manjim oscilacijama. Najveći broj učenika zabeležen je u 2015/16 (12.574), dok je najniži broj zabeležen u poslednjoj školskoj godini 2023/24.</w:t>
      </w:r>
      <w:r/>
    </w:p>
    <w:p>
      <w:pPr>
        <w:pStyle w:val="825"/>
        <w:ind w:left="0" w:right="0" w:firstLine="0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Broj učenika 1. razreda (2014/15–2023/24):</w:t>
      </w:r>
      <w:r/>
    </w:p>
    <w:p>
      <w:pPr>
        <w:pStyle w:val="999"/>
        <w:numPr>
          <w:ilvl w:val="0"/>
          <w:numId w:val="12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Broj učenika 1. razreda smanjen je sa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1.516 (2014/15)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na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1.331 (2023/24)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što je pad od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12,21%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ili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185 učenika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</w:t>
      </w:r>
      <w:r/>
    </w:p>
    <w:p>
      <w:pPr>
        <w:pStyle w:val="999"/>
        <w:numPr>
          <w:ilvl w:val="0"/>
          <w:numId w:val="13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Najveći broj učenika 1. razreda zabeležen je u 2015/16 (1.612), dok je najniži broj zabeležen u 2023/24 (1.331).</w:t>
      </w:r>
      <w:r/>
    </w:p>
    <w:p>
      <w:pPr>
        <w:pStyle w:val="999"/>
        <w:numPr>
          <w:ilvl w:val="0"/>
          <w:numId w:val="14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Pad broja prvaka je brži u odnosu na ukupan broj učenika, što ukazuje na smanjenje nataliteta ili migracije porodica sa mlađom decom.</w:t>
      </w:r>
      <w:r/>
    </w:p>
    <w:p>
      <w:pPr>
        <w:ind w:left="0" w:right="0" w:firstLine="0"/>
        <w:jc w:val="center"/>
        <w:spacing w:before="0" w:after="0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121058" cy="2548187"/>
                <wp:effectExtent l="0" t="0" r="0" b="0"/>
                <wp:docPr id="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0055296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 flipH="0" flipV="0">
                          <a:off x="0" y="0"/>
                          <a:ext cx="4121057" cy="25481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324.5pt;height:200.6pt;mso-wrap-distance-left:0.0pt;mso-wrap-distance-top:0.0pt;mso-wrap-distance-right:0.0pt;mso-wrap-distance-bottom:0.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</w:p>
    <w:p>
      <w:pPr>
        <w:pStyle w:val="825"/>
        <w:ind w:left="0" w:right="0" w:firstLine="0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Oscilacije i trendovi:</w:t>
      </w:r>
      <w:r/>
      <w:r/>
    </w:p>
    <w:p>
      <w:pPr>
        <w:pStyle w:val="999"/>
        <w:numPr>
          <w:ilvl w:val="0"/>
          <w:numId w:val="67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Stagnacija u periodu 2014/15–2017/18: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Broj ukupnih učenika i prvaka bio je relativno stabilan.</w:t>
      </w:r>
      <w:r/>
      <w:r/>
    </w:p>
    <w:p>
      <w:pPr>
        <w:pStyle w:val="999"/>
        <w:numPr>
          <w:ilvl w:val="0"/>
          <w:numId w:val="68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Postepeni pad nakon 2018/19: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Broj učenika počinje da opada značajnijim tempom, što se može povezati sa opštim demografskim i migracionim trendovima.</w:t>
      </w:r>
      <w:r/>
      <w:r/>
    </w:p>
    <w:p>
      <w:pPr>
        <w:pStyle w:val="999"/>
        <w:numPr>
          <w:ilvl w:val="0"/>
          <w:numId w:val="69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Razlika u trendovima ukupnih učenika i prvaka: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Brži pad broja prvaka ukazuje na budući uticaj smanjenja nataliteta na obrazovni sistem.</w:t>
      </w:r>
      <w:r/>
      <w:r/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firstLine="0"/>
        <w:jc w:val="center"/>
        <w:spacing w:before="0" w:after="0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923065" cy="2588365"/>
                <wp:effectExtent l="0" t="0" r="0" b="0"/>
                <wp:docPr id="4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947830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rcRect l="6282" t="0" r="0" b="0"/>
                        <a:stretch/>
                      </pic:blipFill>
                      <pic:spPr bwMode="auto">
                        <a:xfrm flipH="0" flipV="0">
                          <a:off x="0" y="0"/>
                          <a:ext cx="3923065" cy="2588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308.9pt;height:203.8pt;mso-wrap-distance-left:0.0pt;mso-wrap-distance-top:0.0pt;mso-wrap-distance-right:0.0pt;mso-wrap-distance-bottom:0.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 U nastavku dokumenta se nalaze analize sa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bazičnim indeksima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za 2014/15 kao baznu vrednost, zajedno sa ostalim analizama.</w:t>
      </w:r>
      <w:r/>
    </w:p>
    <w:p>
      <w:pPr>
        <w:pStyle w:val="823"/>
        <w:ind w:left="0" w:right="0" w:firstLine="0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1. Bazični indeksi (bazna godina: 2014/15)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Bazični indeks = (Vrednost u datoj godini / Vrednost u 2014/15)×100</w:t>
      </w:r>
      <w:r/>
    </w:p>
    <w:tbl>
      <w:tblPr>
        <w:tblStyle w:val="851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612"/>
        <w:gridCol w:w="1686"/>
        <w:gridCol w:w="2529"/>
        <w:gridCol w:w="1871"/>
        <w:gridCol w:w="2656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Godina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8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Ukupan broj učenika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2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Bazični indeks ukupnih učenika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Broj učenika 1. razreda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Bazični indeks učenika 1. razreda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2014/15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8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12.572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2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1.516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2015/16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8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12.574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2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100,02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1.612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106,33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2016/17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8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12.553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2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99,85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1.528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100,79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2017/18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8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12.572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2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1.522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100,40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2018/19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8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12.372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2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98,41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1.458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96,17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2019/20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8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12.146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2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96,60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1.486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97,98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2020/21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8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12.023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2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95,63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1.514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99,87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2021/22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8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11.781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2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93,72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1.430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94,32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2022/23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8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11.675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2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92,86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1.406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92,73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2023/24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8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11.364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2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90,38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1.331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87,79</w:t>
            </w:r>
            <w:r/>
          </w:p>
        </w:tc>
      </w:tr>
    </w:tbl>
    <w:p>
      <w:pPr>
        <w:pStyle w:val="823"/>
        <w:ind w:left="0" w:right="0" w:firstLine="0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2. Projekcije za 2031. i 2041. godinu</w:t>
      </w:r>
      <w:r/>
    </w:p>
    <w:p>
      <w:pPr>
        <w:pStyle w:val="825"/>
        <w:ind w:left="0" w:right="0" w:firstLine="0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Projekcija ukupnog broja učenika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Prosečna godišnja stopa pada ukupnog broja učenika (2014/15–2023/24):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Godišnji pad (%) = (Broj učenika 2023/24 – Broj učenika 2014/15)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×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(Broj učenika 2014/15 × (2023/24 – 2014/15)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×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100 = (11.364 - 12.572)}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×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{12.572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×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9}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×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100 = -1,07%</w:t>
      </w:r>
      <w:r/>
    </w:p>
    <w:p>
      <w:pPr>
        <w:ind w:left="0" w:right="0" w:firstLine="0"/>
        <w:spacing w:before="240" w:after="240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Projekcija broja učenika:</w:t>
      </w:r>
      <w:r/>
    </w:p>
    <w:p>
      <w:pPr>
        <w:ind w:left="0" w:right="0" w:firstLine="0"/>
        <w:spacing w:before="240" w:after="24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Ukupan broj učenika 2031 = 11.364 × (1−0,0107)8 ≈10.410 Ukupan broj učenika 2041=11.364×(1−0,0107)18≈9.470</w:t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pStyle w:val="825"/>
        <w:ind w:left="0" w:right="0" w:firstLine="0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Projekcija broja učenika 1. razreda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Prosečna godišnja stopa pada broja učenika 1. razreda (2014/15–2023/24):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Godišnji pad (%) = (Broj učenika 1. razreda 2023/24 – Broj učenika 1. razreda 2014/15)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×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{Broj učenika 1. razreda 2014/15 × (2023/24 – 2014/15)}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×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100 = (1.331 - 1.516)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×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(1.516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×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9)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×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100 = -1,35%</w:t>
      </w:r>
      <w:r/>
    </w:p>
    <w:p>
      <w:pPr>
        <w:ind w:left="0" w:right="0" w:firstLine="0"/>
        <w:spacing w:before="240" w:after="240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Projekcija broja učenika 1. razreda: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/>
    </w:p>
    <w:p>
      <w:pPr>
        <w:ind w:left="0" w:right="0" w:firstLine="0"/>
        <w:spacing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Broj učenika 1. razreda 2031=1.331×(1−0,0135)8 ≈1.178 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spacing w:before="0" w:after="0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Broj učenika 1. razreda 2041=1.331×(1−0,0135)18 ≈1.015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/>
    </w:p>
    <w:p>
      <w:pPr>
        <w:pStyle w:val="823"/>
        <w:ind w:left="0" w:right="0" w:firstLine="0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3. Zaključci</w:t>
      </w:r>
      <w:r/>
    </w:p>
    <w:p>
      <w:pPr>
        <w:pStyle w:val="825"/>
        <w:ind w:left="0" w:right="0" w:firstLine="0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A) Kretanje broja učenika (2014/15–2023/24):</w:t>
      </w:r>
      <w:r/>
    </w:p>
    <w:p>
      <w:pPr>
        <w:pStyle w:val="999"/>
        <w:numPr>
          <w:ilvl w:val="0"/>
          <w:numId w:val="18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</w:rPr>
        <w:t xml:space="preserve">Ukupan broj učenika opao je za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9,62%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dok je broj učenika 1. razreda opao za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12,21%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</w:t>
      </w:r>
      <w:r/>
    </w:p>
    <w:p>
      <w:pPr>
        <w:pStyle w:val="999"/>
        <w:numPr>
          <w:ilvl w:val="0"/>
          <w:numId w:val="19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Pad je izraženiji kod učenika 1. razreda, što ukazuje na niži natalitet ili migracije porodica sa malom decom.</w:t>
      </w:r>
      <w:r/>
    </w:p>
    <w:p>
      <w:pPr>
        <w:pStyle w:val="825"/>
        <w:ind w:left="0" w:right="0" w:firstLine="0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B) Projekcije za 2031. i 2041. godinu:</w:t>
      </w:r>
      <w:r/>
    </w:p>
    <w:p>
      <w:pPr>
        <w:pStyle w:val="999"/>
        <w:numPr>
          <w:ilvl w:val="0"/>
          <w:numId w:val="20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Ukupan broj učenika:</w:t>
      </w:r>
      <w:r/>
    </w:p>
    <w:p>
      <w:pPr>
        <w:pStyle w:val="999"/>
        <w:numPr>
          <w:ilvl w:val="0"/>
          <w:numId w:val="21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Očekuje se pad na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10.410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učenika do 2031. godine i na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9.470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do 2041. godine, što je smanjenje od 16% u narednih 18 godina.</w:t>
      </w:r>
      <w:r/>
    </w:p>
    <w:p>
      <w:pPr>
        <w:pStyle w:val="999"/>
        <w:numPr>
          <w:ilvl w:val="0"/>
          <w:numId w:val="22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Broj učenika 1. razreda:</w:t>
      </w:r>
      <w:r/>
    </w:p>
    <w:p>
      <w:pPr>
        <w:pStyle w:val="999"/>
        <w:numPr>
          <w:ilvl w:val="0"/>
          <w:numId w:val="23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Predviđa se smanjenje na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1.178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učenika 1. razreda do 2031. godine i na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1.015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do 2041. godine, što je smanjenje od 23,1% u odnosu na trenutni broj.</w:t>
      </w:r>
      <w:r/>
    </w:p>
    <w:p>
      <w:pPr>
        <w:pStyle w:val="825"/>
        <w:ind w:left="0" w:right="0" w:firstLine="0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C) Ključni izazovi i preporuke:</w:t>
      </w:r>
      <w:r/>
    </w:p>
    <w:p>
      <w:pPr>
        <w:pStyle w:val="999"/>
        <w:numPr>
          <w:ilvl w:val="0"/>
          <w:numId w:val="24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Izražen pad nataliteta i migracija: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Pad broja učenika 1. razreda signalizuje dugoročne demografske izazove.</w:t>
      </w:r>
      <w:r/>
    </w:p>
    <w:p>
      <w:pPr>
        <w:pStyle w:val="999"/>
        <w:numPr>
          <w:ilvl w:val="0"/>
          <w:numId w:val="25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Stabilizacija obrazovnog sistema: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Potrebne su mere za podsticanje nataliteta, zadržavanje mladih porodica i poboljšanje obrazovne infrastrukture.</w:t>
      </w:r>
      <w:r/>
    </w:p>
    <w:p>
      <w:pPr>
        <w:pStyle w:val="999"/>
        <w:numPr>
          <w:ilvl w:val="0"/>
          <w:numId w:val="26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Prilagođavanje kapaciteta škola: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Projekcije ukazuju na potrebu optimizacije školske mreže u skladu sa smanjenjem broja učenika.</w:t>
      </w:r>
      <w:r/>
    </w:p>
    <w:p>
      <w:pPr>
        <w:pStyle w:val="825"/>
        <w:ind w:left="0" w:right="0" w:firstLine="0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D) Opšti zaključak:</w:t>
      </w:r>
      <w:r/>
    </w:p>
    <w:p>
      <w:pPr>
        <w:ind w:left="0" w:right="0" w:firstLine="0"/>
        <w:jc w:val="both"/>
        <w:spacing w:before="240" w:after="240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Novi Pazar beleži postepen pad broja učenika, koji će se nastaviti u narednim decenijama ako se ne preduzmu strateške mere. Iako grad ima povoljniju demografsku osnovu u poređenju sa drugim delovima Srbije, trendovi smanjenja broja učenika ukazuju na potre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bu za hitnim akcijama kako bi se obezbedila održivost obrazovnog sistema i demografska stabilnost.</w:t>
      </w:r>
      <w:r/>
    </w:p>
    <w:p>
      <w:pPr>
        <w:shd w:val="nil" w:color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br w:type="page" w:clear="all"/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pStyle w:val="823"/>
        <w:ind w:left="0" w:right="0" w:firstLine="0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II Analiza za Čačak: Kretanje broja učenika osnovnih škola i broja učenika 1. razreda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Praćenje broja učenika osnovnih škola i učenika 1. razreda pruža ključne informacije o demografskim i obrazovnim trendovima u Čačku. Ovo je važan indikator stanja nataliteta, migracija i održivosti lokalnog obrazovnog sistema. Analizom promene broja učenik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a osnovnih škola i učenika 1. razreda identifikuju se ključni izazovi i mogućnosti za unapređenje. Fokus ove analize je na dugoročnim trendovima i projekcijama za 2031. i 2041. godinu, kako bi se bolje planirale buduće obrazovne i demografske politike.</w:t>
      </w:r>
      <w:r/>
    </w:p>
    <w:p>
      <w:pPr>
        <w:pStyle w:val="823"/>
        <w:ind w:left="0" w:right="0" w:firstLine="0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1. Tabela sa vrednostima po godinama</w:t>
      </w:r>
      <w:r/>
    </w:p>
    <w:tbl>
      <w:tblPr>
        <w:tblStyle w:val="851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560"/>
        <w:gridCol w:w="2190"/>
        <w:gridCol w:w="243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Školska godina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Ukupan broj učenika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Broj učenika 1. razreda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2014/15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9.121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1.030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2015/16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9.006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1.063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2016/17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8.915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1.066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2017/18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8.810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1.029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2018/19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8.577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1.022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2019/20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8.441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1.041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2020/21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8.286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945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2021/22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8.179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1.008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2022/23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8.186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1.002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2023/24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8.148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1.035</w:t>
            </w:r>
            <w:r/>
          </w:p>
        </w:tc>
      </w:tr>
    </w:tbl>
    <w:p>
      <w:pPr>
        <w:pStyle w:val="823"/>
        <w:ind w:left="0" w:right="0" w:firstLine="0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2. Bazični indeksi (bazna godina: 2014/15)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Bazični indeks = (Vrednost u datoj godini / Vrednost u 2014/15) × 100 </w:t>
      </w:r>
      <w:r/>
    </w:p>
    <w:tbl>
      <w:tblPr>
        <w:tblStyle w:val="851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612"/>
        <w:gridCol w:w="1686"/>
        <w:gridCol w:w="2529"/>
        <w:gridCol w:w="1871"/>
        <w:gridCol w:w="2656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Godina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8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Ukupan broj učenika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2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Bazični indeks ukupnih učenika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Broj učenika 1. razreda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Bazični indeks učenika 1. razreda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2014/15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8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9.121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2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1.030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2015/16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8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9.006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2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98,74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1.063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103,20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2016/17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8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8.915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2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97,75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1.066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103,50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2017/18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8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8.810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2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96,60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1.029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99,90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2018/19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8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8.577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2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94,04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99,22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2019/20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8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8.441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2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92,56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1.041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101,07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2020/21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8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8.286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2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90,85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945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91,75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2021/22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8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8.179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2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89,66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1.008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97,87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2022/23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8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8.186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2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89,74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97,28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2023/24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8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8.148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2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89,30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1.035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100,49</w:t>
            </w:r>
            <w:r/>
          </w:p>
        </w:tc>
      </w:tr>
    </w:tbl>
    <w:p>
      <w:pPr>
        <w:pStyle w:val="823"/>
        <w:ind w:left="0" w:right="0" w:firstLine="0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3. Projekcije za 2031. i 2041. godinu</w:t>
      </w:r>
      <w:r/>
    </w:p>
    <w:p>
      <w:pPr>
        <w:pStyle w:val="825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A) Projekcija ukupnog broja učenika</w:t>
      </w:r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Prosečna godišnja stopa pada ukupnog broja učenika (2014/15–2023/24):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-1,18\%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Projekcija:</w:t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Ukupan broj učenika 2031= 8.148 × (1−0,0118)8 ≈ 7.620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Ukupan broj učenika 2041= 8.148 × (1−0,0118)18 ≈ 6.560</w:t>
      </w:r>
      <w:r/>
    </w:p>
    <w:p>
      <w:pPr>
        <w:pStyle w:val="825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B) Projekcija broja učenika 1. razreda</w:t>
      </w:r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Prosečna godišnja stopa pada broja učenika 1. razreda (2014/15–2023/24):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+0,05\%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Projekcija:</w:t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Broj učenika 1. razreda 2031 = 1.035 × (1+0,0005)8 ≈ 1.039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Broj učenika 1. razreda 2041 = 1.035 × (1+0,0005)18 ≈ 1.044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/>
    </w:p>
    <w:p>
      <w:pPr>
        <w:pStyle w:val="823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4. Zaključci</w:t>
      </w:r>
      <w:r/>
    </w:p>
    <w:p>
      <w:pPr>
        <w:pStyle w:val="825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A) Kretanje broja učenika (2014/15–2023/24):</w:t>
      </w:r>
      <w:r/>
    </w:p>
    <w:p>
      <w:pPr>
        <w:pStyle w:val="999"/>
        <w:numPr>
          <w:ilvl w:val="0"/>
          <w:numId w:val="27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Ukupan broj učenika smanjen je za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10,65%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sa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9.121 (2014/15)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na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8.148 (2023/24)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</w:t>
      </w:r>
      <w:r/>
    </w:p>
    <w:p>
      <w:pPr>
        <w:pStyle w:val="999"/>
        <w:numPr>
          <w:ilvl w:val="0"/>
          <w:numId w:val="28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Broj učenika 1. razreda ostao je relativno stabilan, sa blago pozitivnim trendom.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339715" cy="2856258"/>
                <wp:effectExtent l="0" t="0" r="0" b="0"/>
                <wp:docPr id="5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657708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rcRect l="6052" t="0" r="0" b="0"/>
                        <a:stretch/>
                      </pic:blipFill>
                      <pic:spPr bwMode="auto">
                        <a:xfrm flipH="0" flipV="0">
                          <a:off x="0" y="0"/>
                          <a:ext cx="4339714" cy="28562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341.7pt;height:224.9pt;mso-wrap-distance-left:0.0pt;mso-wrap-distance-top:0.0pt;mso-wrap-distance-right:0.0pt;mso-wrap-distance-bottom:0.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/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</w:p>
    <w:p>
      <w:pPr>
        <w:pStyle w:val="825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B) Projekcije za 2031. i 2041. godinu:</w:t>
      </w:r>
      <w:r/>
    </w:p>
    <w:p>
      <w:pPr>
        <w:pStyle w:val="999"/>
        <w:numPr>
          <w:ilvl w:val="0"/>
          <w:numId w:val="29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Ukupan broj učenika: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Očekuje se pad na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7.620 učenika do 2031. godine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i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6.560 učenika do 2041. godine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što predstavlja značajno smanjenje od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19,7%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u odnosu na 2023/24.</w:t>
      </w:r>
      <w:r/>
    </w:p>
    <w:p>
      <w:pPr>
        <w:pStyle w:val="999"/>
        <w:numPr>
          <w:ilvl w:val="0"/>
          <w:numId w:val="30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Broj učenika 1. razreda: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Predviđa se stabilizacija sa blago pozitivnim trendom, uz očekivani broj od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1.039 učenika 1. razreda do 2031. godine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i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1.044 učenika do 2041. godine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</w:t>
      </w:r>
      <w:r/>
    </w:p>
    <w:p>
      <w:pPr>
        <w:ind w:right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416394" cy="2730803"/>
                <wp:effectExtent l="0" t="0" r="0" b="0"/>
                <wp:docPr id="6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794306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 flipH="0" flipV="0">
                          <a:off x="0" y="0"/>
                          <a:ext cx="4416393" cy="27308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347.7pt;height:215.0pt;mso-wrap-distance-left:0.0pt;mso-wrap-distance-top:0.0pt;mso-wrap-distance-right:0.0pt;mso-wrap-distance-bottom:0.0pt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</w:p>
    <w:p>
      <w:pPr>
        <w:pStyle w:val="825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C) Ključni izazovi i preporuke:</w:t>
      </w:r>
      <w:r/>
    </w:p>
    <w:p>
      <w:pPr>
        <w:pStyle w:val="999"/>
        <w:numPr>
          <w:ilvl w:val="0"/>
          <w:numId w:val="31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Pad ukupnog broja učenika: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Ovaj trend ukazuje na demografske izazove i potrebu za podsticanjem nataliteta i zadržavanjem porodica u Čačku.</w:t>
      </w:r>
      <w:r/>
    </w:p>
    <w:p>
      <w:pPr>
        <w:pStyle w:val="999"/>
        <w:numPr>
          <w:ilvl w:val="0"/>
          <w:numId w:val="32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Stabilan broj učenika 1. razreda: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Pozitivan signal za obrazovni sistem, ali je potrebno nastaviti sa podrškom mladim porodicama kako bi se očuvao ovaj trend.</w:t>
      </w:r>
      <w:r/>
    </w:p>
    <w:p>
      <w:pPr>
        <w:pStyle w:val="999"/>
        <w:numPr>
          <w:ilvl w:val="0"/>
          <w:numId w:val="33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Optimizacija školske mreže: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Projekcije ukazuju na potrebu za prilagođavanjem kapaciteta škola u skladu sa opadajućim brojem učenika.</w:t>
      </w:r>
      <w:r/>
    </w:p>
    <w:p>
      <w:pPr>
        <w:pStyle w:val="825"/>
        <w:ind w:left="0" w:right="0" w:firstLine="0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D) Opšti zaključak:</w:t>
      </w:r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Čačak pokazuje relativno stabilnu situaciju sa brojem učenika 1. razreda, ali pad ukupnog broja učenika ukazuje na dugoročne izazove. Potrebne su ciljane mere za podsticanje nataliteta, smanjenje migracija i jačanje lokalne privrede kako bi se obezbedila d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emografska i obrazovna održivost.</w:t>
      </w:r>
      <w:r/>
    </w:p>
    <w:p>
      <w:pPr>
        <w:shd w:val="nil" w:color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  <w:br w:type="page" w:clear="all"/>
      </w: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/>
    </w:p>
    <w:p>
      <w:pPr>
        <w:pStyle w:val="823"/>
        <w:ind w:left="0" w:right="0" w:firstLine="0"/>
        <w:spacing w:before="281" w:after="281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III Analiza za Kraljevo: Kretanje broja učenika osnovnih škola i broja učenika 1. razreda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spacing w:before="240" w:after="240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Praćenje broja učenika osnovnih škola i učenika 1. razreda u Kraljevu predstavlja značajan pokazatelj demografskih trendova, migracionih tokova i održivosti lokalnog obrazovnog sistema. Ova analiza fokusira se na dugoročne promene broja učenika osnovnih šk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ola i učenika 1. razreda u Kraljevu od 2014/15 do 2023/24 školske godine, kao i na projekcije za 2031. i 2041. godinu.</w:t>
      </w:r>
      <w:r/>
    </w:p>
    <w:p>
      <w:pPr>
        <w:ind w:left="0" w:right="0" w:firstLine="0"/>
        <w:spacing w:before="240" w:after="24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/>
    </w:p>
    <w:p>
      <w:pPr>
        <w:pStyle w:val="823"/>
        <w:ind w:left="0" w:right="0" w:firstLine="0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1. Tabela sa vrednostima po godinama</w:t>
      </w:r>
      <w:r/>
    </w:p>
    <w:tbl>
      <w:tblPr>
        <w:tblStyle w:val="851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560"/>
        <w:gridCol w:w="2190"/>
        <w:gridCol w:w="243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Školska godina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Ukupan broj učenika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Broj učenika 1. razreda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2014/15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10.224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1.190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2015/16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10.049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1.122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2016/17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9.839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1.110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2017/18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9.698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1.083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2018/19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9.334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1.026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2019/20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8.961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2020/21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8.604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1.011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2021/22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8.428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1.050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2022/23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8.285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1.018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2023/24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8.137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995</w:t>
            </w:r>
            <w:r/>
          </w:p>
        </w:tc>
      </w:tr>
    </w:tbl>
    <w:p>
      <w:pPr>
        <w:pStyle w:val="823"/>
        <w:ind w:left="0" w:right="0" w:firstLine="0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2. Bazični indeksi (bazna godina: 2014/15)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Bazični indeks = (Vrednost u datoj godini / Vrednost u 2014/15) × 100 </w:t>
      </w:r>
      <w:r/>
    </w:p>
    <w:tbl>
      <w:tblPr>
        <w:tblStyle w:val="851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612"/>
        <w:gridCol w:w="1686"/>
        <w:gridCol w:w="2529"/>
        <w:gridCol w:w="1871"/>
        <w:gridCol w:w="2656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Godina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8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Ukupan broj učenika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2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Bazični indeks ukupnih učenika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Broj učenika 1. razreda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Bazični indeks učenika 1. razreda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2014/15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8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10.224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2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1.190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2015/16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8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10.049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2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98,29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1.122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94,29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2016/17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8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9.839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2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96,23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1.110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93,28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2017/18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8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9.698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2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94,85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1.083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91,01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2018/19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8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9.334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2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91,30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86,22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2019/20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8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8.961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2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87,63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83,87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2020/21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8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8.604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2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84,15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1.011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84,96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2021/22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8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8.428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2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82,43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1.050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88,24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2022/23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8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8.285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2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81,03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1.018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85,56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2023/24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8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8.137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2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79,58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83,61</w:t>
            </w:r>
            <w:r/>
          </w:p>
        </w:tc>
      </w:tr>
    </w:tbl>
    <w:p>
      <w:pPr>
        <w:pStyle w:val="823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3. Projekcije za 2031. i 2041. godinu</w:t>
      </w:r>
      <w:r/>
    </w:p>
    <w:p>
      <w:pPr>
        <w:pStyle w:val="825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A) Projekcija ukupnog broja učenika</w:t>
      </w:r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Prosečna godišnja stopa pada ukupnog broja učenika (2014/15–2023/24):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-2,28\%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Projekcija:</w:t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Ukupan broj učenika 2031= 8.137 × (1−0,0228)8 ≈ 7.176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Ukupan broj učenika 2041= 8.137 × (1−0,0228)18 ≈ 5.893</w:t>
      </w:r>
      <w:r/>
    </w:p>
    <w:p>
      <w:pPr>
        <w:pStyle w:val="825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B) Projekcija broja učenika 1. razreda</w:t>
      </w:r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Prosečna godišnja stopa pada broja učenika 1. razreda (2014/15–2023/24):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-1,83\%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Projekcija:</w:t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Broj učenika 1. razreda 2031= 995 × (1−0,0183)8 ≈ 868 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Broj učenika 1. razreda 2041= 995 × (1−0,0183)18 ≈ 730</w:t>
      </w:r>
      <w:r/>
    </w:p>
    <w:p>
      <w:pPr>
        <w:pStyle w:val="823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4. Zaključci</w:t>
      </w:r>
      <w:r/>
    </w:p>
    <w:p>
      <w:pPr>
        <w:pStyle w:val="825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A) Kretanje broja učenika (2014/15–2023/24):</w:t>
      </w:r>
      <w:r/>
    </w:p>
    <w:p>
      <w:pPr>
        <w:pStyle w:val="999"/>
        <w:numPr>
          <w:ilvl w:val="0"/>
          <w:numId w:val="34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Ukupan broj učenika smanjen je za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20,40%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sa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10.224 (2014/15)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na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8.137 (2023/24)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</w:t>
      </w:r>
      <w:r/>
    </w:p>
    <w:p>
      <w:pPr>
        <w:pStyle w:val="999"/>
        <w:numPr>
          <w:ilvl w:val="0"/>
          <w:numId w:val="35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Broj učenika 1. razreda opao je za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16,39%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sa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1.190 (2014/15)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na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995 (2023/24)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926795" cy="2573556"/>
                <wp:effectExtent l="0" t="0" r="0" b="0"/>
                <wp:docPr id="7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37663335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rcRect l="5653" t="0" r="0" b="0"/>
                        <a:stretch/>
                      </pic:blipFill>
                      <pic:spPr bwMode="auto">
                        <a:xfrm flipH="0" flipV="0">
                          <a:off x="0" y="0"/>
                          <a:ext cx="3926794" cy="2573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309.2pt;height:202.6pt;mso-wrap-distance-left:0.0pt;mso-wrap-distance-top:0.0pt;mso-wrap-distance-right:0.0pt;mso-wrap-distance-bottom:0.0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/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</w:p>
    <w:p>
      <w:pPr>
        <w:pStyle w:val="825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B) Projekcije za 2031. i 2041. godinu:</w:t>
      </w:r>
      <w:r/>
    </w:p>
    <w:p>
      <w:pPr>
        <w:pStyle w:val="999"/>
        <w:numPr>
          <w:ilvl w:val="0"/>
          <w:numId w:val="36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Ukupan broj učenika: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Očekuje se pad na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7.176 učenika do 2031. godine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i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5.893 učenika do 2041. godine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što je smanjenje od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27,6%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u odnosu na trenutni broj.</w:t>
      </w:r>
      <w:r/>
    </w:p>
    <w:p>
      <w:pPr>
        <w:pStyle w:val="999"/>
        <w:numPr>
          <w:ilvl w:val="0"/>
          <w:numId w:val="37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Broj učenika 1. razreda: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Predviđa se pad na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868 učenika 1. razreda do 2031. godine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i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730 učenika do 2041. godine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što je smanjenje od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26,7%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u odnosu na trenutni broj.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721440" cy="2301090"/>
                <wp:effectExtent l="0" t="0" r="0" b="0"/>
                <wp:docPr id="8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9656116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 flipH="0" flipV="0">
                          <a:off x="0" y="0"/>
                          <a:ext cx="3721439" cy="2301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width:293.0pt;height:181.2pt;mso-wrap-distance-left:0.0pt;mso-wrap-distance-top:0.0pt;mso-wrap-distance-right:0.0pt;mso-wrap-distance-bottom:0.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</w:p>
    <w:p>
      <w:pPr>
        <w:pStyle w:val="825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C) Ključni izazovi i preporuke:</w:t>
      </w:r>
      <w:r/>
    </w:p>
    <w:p>
      <w:pPr>
        <w:pStyle w:val="999"/>
        <w:numPr>
          <w:ilvl w:val="0"/>
          <w:numId w:val="38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Značajan pad ukupnog broja učenika: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Pad broja učenika ukazuje na ozbiljne demografske izazove, uključujući nizak natalitet i migracije.</w:t>
      </w:r>
      <w:r/>
    </w:p>
    <w:p>
      <w:pPr>
        <w:pStyle w:val="999"/>
        <w:numPr>
          <w:ilvl w:val="0"/>
          <w:numId w:val="39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Smanjenje broja prvaka: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Pad broja učenika 1. razreda ukazuje na dugoročni uticaj demografskih promena na obrazovni sistem.</w:t>
      </w:r>
      <w:r/>
    </w:p>
    <w:p>
      <w:pPr>
        <w:pStyle w:val="999"/>
        <w:numPr>
          <w:ilvl w:val="0"/>
          <w:numId w:val="40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Podrška porodicama: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Potrebne su mere za podsticanje nataliteta i zadržavanje mladih porodica u Kraljevu.</w:t>
      </w:r>
      <w:r/>
    </w:p>
    <w:p>
      <w:pPr>
        <w:pStyle w:val="825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D) Opšti zaključak:</w:t>
      </w:r>
      <w:r/>
    </w:p>
    <w:p>
      <w:pPr>
        <w:ind w:left="0" w:right="0" w:firstLine="0"/>
        <w:jc w:val="both"/>
        <w:spacing w:before="240" w:after="240"/>
        <w:rPr>
          <w:rFonts w:ascii="Times New Roman" w:hAnsi="Times New Roman" w:eastAsia="Times New Roman" w:cs="Times New Roman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Kraljevo beleži izražen pad ukupnog broja učenika i učenika 1. razreda. Projekcije za naredne decenije ukazuju na nastavak ovog trenda, što zahteva hitne intervencije u demografskim i obrazovnim politikama. Održavanje kvaliteta obrazovnog sistema i optimiz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acija školske mreže ključni su prioriteti za očuvanje stabilnosti u budućnosti.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/>
    </w:p>
    <w:p>
      <w:pPr>
        <w:shd w:val="nil" w:color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  <w:br w:type="page" w:clear="all"/>
      </w: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/>
    </w:p>
    <w:p>
      <w:pPr>
        <w:pStyle w:val="823"/>
        <w:ind w:left="0" w:right="0" w:firstLine="0"/>
        <w:spacing w:before="281" w:after="281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IV Komparativna analiza kretanja broja učenika osnovnih škola i učenika 1. razreda: Novi Pazar, Čačak i Kraljevo</w:t>
      </w:r>
      <w:r/>
    </w:p>
    <w:p>
      <w:pPr>
        <w:pStyle w:val="823"/>
        <w:ind w:left="0" w:right="0" w:firstLine="0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1. Uvod</w:t>
      </w:r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Komparativna analiza broja učenika osnovnih škola i učenika 1. razreda u Novom Pazaru, Čačku i Kraljevu pruža uvid u ključne demografske i obrazovne trendove u tri različita grada Srbije. Ova analiza omogućava identifikaciju sličnosti i razlika u kretanju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broja učenika, njihovim uzrocima i posledicama po lokalne obrazovne sisteme. Fokus je na dugoročnim trendovima, uz projekcije za 2031. i 2041. godinu, kako bi se sagledale buduće potrebe i izazovi.</w:t>
      </w:r>
      <w:r/>
    </w:p>
    <w:p>
      <w:pPr>
        <w:pStyle w:val="823"/>
        <w:ind w:left="0" w:right="0" w:firstLine="0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2. Tabela sa ključnim podacima</w:t>
      </w:r>
      <w:r/>
    </w:p>
    <w:tbl>
      <w:tblPr>
        <w:tblStyle w:val="851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692"/>
        <w:gridCol w:w="1838"/>
        <w:gridCol w:w="1838"/>
        <w:gridCol w:w="846"/>
        <w:gridCol w:w="1647"/>
        <w:gridCol w:w="1647"/>
        <w:gridCol w:w="846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Grad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3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Ukupan broj učenika 2014/15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3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Ukupan broj učenika 2023/24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4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Promena (%)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4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Učenici 1. razreda 2014/15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4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Učenici 1. razreda 2023/24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4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Promena (%)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Novi Pazar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3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12.572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3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11.364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4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-9,62%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4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1.516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4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1.331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4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-12,21%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Čačak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3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9.121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3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8.148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4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-10,65%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4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1.030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4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1.035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4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+0,49%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Kraljevo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3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10.224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3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8.137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4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-20,40%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4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1.190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4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4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-16,39%</w:t>
            </w:r>
            <w:r/>
          </w:p>
        </w:tc>
      </w:tr>
    </w:tbl>
    <w:p>
      <w:pPr>
        <w:pStyle w:val="823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3. Komparativna analiza</w:t>
      </w:r>
      <w:r/>
    </w:p>
    <w:p>
      <w:pPr>
        <w:pStyle w:val="825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A) Ukupan broj učenika</w:t>
      </w:r>
      <w:r/>
    </w:p>
    <w:p>
      <w:pPr>
        <w:pStyle w:val="999"/>
        <w:numPr>
          <w:ilvl w:val="0"/>
          <w:numId w:val="41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Najmanji pad u Novom Pazaru: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Novi Pazar beleži pad od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9,62%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što ukazuje na relativno povoljniju demografsku situaciju u poređenju sa Čačkom i Kraljevom. Visok natalitet i kulturni faktori doprinose sporijem opadanju broja učenika.</w:t>
      </w:r>
      <w:r/>
    </w:p>
    <w:p>
      <w:pPr>
        <w:pStyle w:val="999"/>
        <w:numPr>
          <w:ilvl w:val="0"/>
          <w:numId w:val="42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Srednji pad u Čačku: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Ukupan broj učenika u Čačku opao je za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10,65%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što je slično Novom Pazaru, ali ukazuje na veću stabilnost u poređenju sa Kraljevom.</w:t>
      </w:r>
      <w:r/>
    </w:p>
    <w:p>
      <w:pPr>
        <w:pStyle w:val="999"/>
        <w:numPr>
          <w:ilvl w:val="0"/>
          <w:numId w:val="43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Najveći pad u Kraljevu: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Kraljevo beleži najveći pad od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20,40%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što je posledica izraženih migracija i smanjenog nataliteta. Ovo ukazuje na ozbiljne demografske izazove.</w:t>
      </w:r>
      <w:r/>
    </w:p>
    <w:p>
      <w:pPr>
        <w:pStyle w:val="825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B) Broj učenika 1. razreda</w:t>
      </w:r>
      <w:r/>
    </w:p>
    <w:p>
      <w:pPr>
        <w:pStyle w:val="999"/>
        <w:numPr>
          <w:ilvl w:val="0"/>
          <w:numId w:val="44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Relativna stabilnost u Čačku: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Broj učenika 1. razreda u Čačku čak beleži blagi porast od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0,49%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što ukazuje na stabilizaciju nataliteta ili povratak mladih porodica.</w:t>
      </w:r>
      <w:r/>
    </w:p>
    <w:p>
      <w:pPr>
        <w:pStyle w:val="999"/>
        <w:numPr>
          <w:ilvl w:val="0"/>
          <w:numId w:val="45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Srednji pad u Novom Pazaru: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Pad od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12,21%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u Novom Pazaru ukazuje na postepen uticaj smanjenja nataliteta i migracija, ali je situacija povoljnija u poređenju sa Kraljevom.</w:t>
      </w:r>
      <w:r/>
    </w:p>
    <w:p>
      <w:pPr>
        <w:pStyle w:val="999"/>
        <w:numPr>
          <w:ilvl w:val="0"/>
          <w:numId w:val="46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Najveći pad u Kraljevu: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Broj učenika 1. razreda u Kraljevu opao je za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16,39%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što ukazuje na kombinaciju migracija, smanjenog nataliteta i socio-ekonomskih izazova.</w:t>
      </w:r>
      <w:r/>
    </w:p>
    <w:p>
      <w:pPr>
        <w:pStyle w:val="825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C) Projekcije za 2031. i 2041. godinu</w:t>
      </w:r>
      <w:r/>
    </w:p>
    <w:p>
      <w:pPr>
        <w:pStyle w:val="999"/>
        <w:numPr>
          <w:ilvl w:val="0"/>
          <w:numId w:val="47"/>
        </w:numPr>
        <w:ind w:right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Ukupan broj učenika:</w:t>
      </w:r>
      <w:r/>
    </w:p>
    <w:p>
      <w:pPr>
        <w:pStyle w:val="999"/>
        <w:numPr>
          <w:ilvl w:val="0"/>
          <w:numId w:val="48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Novi Pazar će zadržati relativno povoljniju poziciju sa predviđenim brojem od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10.410 učenika u 2031.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i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9.470 u 2041.</w:t>
      </w:r>
      <w:r/>
    </w:p>
    <w:p>
      <w:pPr>
        <w:pStyle w:val="999"/>
        <w:numPr>
          <w:ilvl w:val="0"/>
          <w:numId w:val="49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Čačak će beležiti umeren pad na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7.620 učenika u 2031.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i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6.560 u 2041.</w:t>
      </w:r>
      <w:r/>
    </w:p>
    <w:p>
      <w:pPr>
        <w:pStyle w:val="999"/>
        <w:numPr>
          <w:ilvl w:val="0"/>
          <w:numId w:val="50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Kraljevo će se suočiti sa najizraženijim padom na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7.176 učenika u 2031.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i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5.893 u 2041.</w:t>
      </w:r>
      <w:r/>
    </w:p>
    <w:p>
      <w:pPr>
        <w:pStyle w:val="999"/>
        <w:numPr>
          <w:ilvl w:val="0"/>
          <w:numId w:val="51"/>
        </w:numPr>
        <w:ind w:right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Broj učenika 1. razreda:</w:t>
      </w:r>
      <w:r/>
    </w:p>
    <w:p>
      <w:pPr>
        <w:pStyle w:val="999"/>
        <w:numPr>
          <w:ilvl w:val="0"/>
          <w:numId w:val="52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Novi Pazar će imati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1.178 prvaka u 2031.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i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1.015 u 2041.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što ukazuje na značajan, ali ne katastrofalan pad.</w:t>
      </w:r>
      <w:r/>
    </w:p>
    <w:p>
      <w:pPr>
        <w:pStyle w:val="999"/>
        <w:numPr>
          <w:ilvl w:val="0"/>
          <w:numId w:val="53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Čačak će beležiti stabilnost sa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1.039 prvaka u 2031.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i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1.044 u 2041.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što je pozitivan trend.</w:t>
      </w:r>
      <w:r/>
    </w:p>
    <w:p>
      <w:pPr>
        <w:pStyle w:val="999"/>
        <w:numPr>
          <w:ilvl w:val="0"/>
          <w:numId w:val="54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Kraljevo će pasti na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868 prvaka u 2031.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i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730 u 2041.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što ukazuje na ozbiljne izazove.</w:t>
      </w:r>
      <w:r/>
    </w:p>
    <w:p>
      <w:pPr>
        <w:pStyle w:val="825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D) Razlike u trendovima</w:t>
      </w:r>
      <w:r/>
    </w:p>
    <w:p>
      <w:pPr>
        <w:pStyle w:val="999"/>
        <w:numPr>
          <w:ilvl w:val="0"/>
          <w:numId w:val="55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Novi Pazar pokazuje otpornost zahvaljujući specifičnoj demografskoj strukturi i kulturnim faktorima koji podstiču natalitet.</w:t>
      </w:r>
      <w:r/>
    </w:p>
    <w:p>
      <w:pPr>
        <w:pStyle w:val="999"/>
        <w:numPr>
          <w:ilvl w:val="0"/>
          <w:numId w:val="56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Čačak pokazuje stabilizaciju, posebno u broju učenika 1. razreda, što ukazuje na pozitivne demografske signale.</w:t>
      </w:r>
      <w:r/>
    </w:p>
    <w:p>
      <w:pPr>
        <w:pStyle w:val="999"/>
        <w:numPr>
          <w:ilvl w:val="0"/>
          <w:numId w:val="57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Kraljevo se suočava sa ozbiljnim demografskim izazovima, uključujući migracije i smanjenje nataliteta.</w:t>
      </w:r>
      <w:r/>
    </w:p>
    <w:p>
      <w:pPr>
        <w:pStyle w:val="823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4. Ključni izazovi i preporuke</w:t>
      </w:r>
      <w:r/>
    </w:p>
    <w:p>
      <w:pPr>
        <w:pStyle w:val="825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Za Novi Pazar:</w:t>
      </w:r>
      <w:r/>
    </w:p>
    <w:p>
      <w:pPr>
        <w:pStyle w:val="999"/>
        <w:numPr>
          <w:ilvl w:val="0"/>
          <w:numId w:val="58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Izazovi: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Postepeni pad broja učenika ukazuje na potrebu za podsticanjem nataliteta i smanjenjem migracija porodica.</w:t>
      </w:r>
      <w:r/>
    </w:p>
    <w:p>
      <w:pPr>
        <w:pStyle w:val="999"/>
        <w:numPr>
          <w:ilvl w:val="0"/>
          <w:numId w:val="59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Preporuke: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Fokusirati se na očuvanje demografske stabilnosti i unapređenje obrazovne infrastrukture kako bi se privukle mlade porodice.</w:t>
      </w:r>
      <w:r/>
    </w:p>
    <w:p>
      <w:pPr>
        <w:pStyle w:val="825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Za Čačak:</w:t>
      </w:r>
      <w:r/>
    </w:p>
    <w:p>
      <w:pPr>
        <w:pStyle w:val="999"/>
        <w:numPr>
          <w:ilvl w:val="0"/>
          <w:numId w:val="60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Izazovi: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Iako broj prvaka ostaje stabilan, pad ukupnog broja učenika ukazuje na potrebu za demografskim podsticajima.</w:t>
      </w:r>
      <w:r/>
    </w:p>
    <w:p>
      <w:pPr>
        <w:pStyle w:val="999"/>
        <w:numPr>
          <w:ilvl w:val="0"/>
          <w:numId w:val="61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Preporuke: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Nastaviti sa politikama podrške porodicama i mladima, kako bi se održala stabilnost u budućnosti.</w:t>
      </w:r>
      <w:r/>
    </w:p>
    <w:p>
      <w:pPr>
        <w:pStyle w:val="825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Za Kraljevo:</w:t>
      </w:r>
      <w:r/>
    </w:p>
    <w:p>
      <w:pPr>
        <w:pStyle w:val="999"/>
        <w:numPr>
          <w:ilvl w:val="0"/>
          <w:numId w:val="62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Izazovi: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Najveći pad ukupnog broja učenika i broja prvaka ukazuje na ozbiljnu demografsku krizu.</w:t>
      </w:r>
      <w:r/>
    </w:p>
    <w:p>
      <w:pPr>
        <w:pStyle w:val="999"/>
        <w:numPr>
          <w:ilvl w:val="0"/>
          <w:numId w:val="63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Preporuke: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Fokusirati se na zadržavanje stanovništva kroz razvoj privrede, poboljšanje životnog standarda i podršku porodicama sa decom.</w:t>
      </w:r>
      <w:r/>
    </w:p>
    <w:p>
      <w:p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</w:p>
    <w:p>
      <w:pPr>
        <w:pStyle w:val="823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5. Zaključak</w:t>
      </w:r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Komparativna analiza ukazuje na značajne razlike između tri grada:</w:t>
      </w:r>
      <w:r/>
    </w:p>
    <w:p>
      <w:pPr>
        <w:pStyle w:val="999"/>
        <w:numPr>
          <w:ilvl w:val="0"/>
          <w:numId w:val="64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Novi Pazar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pokazuje relativno povoljne demografske trendove, ali postepeni pad broja učenika zahteva prilagođene intervencije.</w:t>
      </w:r>
      <w:r/>
    </w:p>
    <w:p>
      <w:pPr>
        <w:pStyle w:val="999"/>
        <w:numPr>
          <w:ilvl w:val="0"/>
          <w:numId w:val="65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Čačak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beleži stabilnost u broju prvaka, što je pozitivan signal za budućnost.</w:t>
      </w:r>
      <w:r/>
    </w:p>
    <w:p>
      <w:pPr>
        <w:pStyle w:val="999"/>
        <w:numPr>
          <w:ilvl w:val="0"/>
          <w:numId w:val="66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Kraljevo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se suočava sa najizraženijim izazovima, ukazujući na potrebu za hitnim merama za revitalizaciju demografske strukture i privrede.</w:t>
      </w:r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Ova analiza pruža osnovu za prilagođavanje obrazovnih i demografskih politika svakom gradu, uz fokus na održivost obrazovnog sistema i demografske stabilnosti.</w:t>
      </w:r>
      <w:r/>
    </w:p>
    <w:p>
      <w:pPr>
        <w:ind w:left="0" w:right="0" w:firstLine="0"/>
        <w:jc w:val="both"/>
        <w:spacing w:before="240" w:after="24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992" w:right="850" w:bottom="1134" w:left="1701" w:header="425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7"/>
      <w:jc w:val="right"/>
    </w:pPr>
    <w:fldSimple w:instr="PAGE \* MERGEFORMAT">
      <w:r>
        <w:t xml:space="preserve">1</w:t>
      </w:r>
    </w:fldSimple>
    <w:r/>
    <w:r/>
  </w:p>
  <w:p>
    <w:pPr>
      <w:pStyle w:val="84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5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59165" cy="176546"/>
              <wp:effectExtent l="0" t="0" r="0" b="0"/>
              <wp:docPr id="1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25006949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rcRect l="0" t="37655" r="0" b="39089"/>
                      <a:stretch/>
                    </pic:blipFill>
                    <pic:spPr bwMode="auto">
                      <a:xfrm flipH="0" flipV="0">
                        <a:off x="0" y="0"/>
                        <a:ext cx="759161" cy="17654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9.8pt;height:13.9pt;mso-wrap-distance-left:0.0pt;mso-wrap-distance-top:0.0pt;mso-wrap-distance-right:0.0pt;mso-wrap-distance-bottom:0.0pt;" stroked="false">
              <v:path textboxrect="0,0,0,0"/>
              <v:imagedata r:id="rId1" o:title=""/>
            </v:shape>
          </w:pict>
        </mc:Fallback>
      </mc:AlternateContent>
      <w:t xml:space="preserve">powered by </w:t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344574" cy="186575"/>
              <wp:effectExtent l="0" t="0" r="0" b="0"/>
              <wp:docPr id="2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01573603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2"/>
                      <a:srcRect l="17992" t="28202" r="17670" b="36962"/>
                      <a:stretch/>
                    </pic:blipFill>
                    <pic:spPr bwMode="auto">
                      <a:xfrm flipH="0" flipV="0">
                        <a:off x="0" y="0"/>
                        <a:ext cx="344574" cy="18657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27.1pt;height:14.7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6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6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6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6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6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6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6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6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6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19">
    <w:name w:val="Heading 1"/>
    <w:basedOn w:val="995"/>
    <w:next w:val="995"/>
    <w:link w:val="82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20">
    <w:name w:val="Heading 1 Char"/>
    <w:link w:val="819"/>
    <w:uiPriority w:val="9"/>
    <w:rPr>
      <w:rFonts w:ascii="Arial" w:hAnsi="Arial" w:eastAsia="Arial" w:cs="Arial"/>
      <w:sz w:val="40"/>
      <w:szCs w:val="40"/>
    </w:rPr>
  </w:style>
  <w:style w:type="paragraph" w:styleId="821">
    <w:name w:val="Heading 2"/>
    <w:basedOn w:val="995"/>
    <w:next w:val="995"/>
    <w:link w:val="82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22">
    <w:name w:val="Heading 2 Char"/>
    <w:link w:val="821"/>
    <w:uiPriority w:val="9"/>
    <w:rPr>
      <w:rFonts w:ascii="Arial" w:hAnsi="Arial" w:eastAsia="Arial" w:cs="Arial"/>
      <w:sz w:val="34"/>
    </w:rPr>
  </w:style>
  <w:style w:type="paragraph" w:styleId="823">
    <w:name w:val="Heading 3"/>
    <w:basedOn w:val="995"/>
    <w:next w:val="995"/>
    <w:link w:val="82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24">
    <w:name w:val="Heading 3 Char"/>
    <w:link w:val="823"/>
    <w:uiPriority w:val="9"/>
    <w:rPr>
      <w:rFonts w:ascii="Arial" w:hAnsi="Arial" w:eastAsia="Arial" w:cs="Arial"/>
      <w:sz w:val="30"/>
      <w:szCs w:val="30"/>
    </w:rPr>
  </w:style>
  <w:style w:type="paragraph" w:styleId="825">
    <w:name w:val="Heading 4"/>
    <w:basedOn w:val="995"/>
    <w:next w:val="995"/>
    <w:link w:val="82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26">
    <w:name w:val="Heading 4 Char"/>
    <w:link w:val="825"/>
    <w:uiPriority w:val="9"/>
    <w:rPr>
      <w:rFonts w:ascii="Arial" w:hAnsi="Arial" w:eastAsia="Arial" w:cs="Arial"/>
      <w:b/>
      <w:bCs/>
      <w:sz w:val="26"/>
      <w:szCs w:val="26"/>
    </w:rPr>
  </w:style>
  <w:style w:type="paragraph" w:styleId="827">
    <w:name w:val="Heading 5"/>
    <w:basedOn w:val="995"/>
    <w:next w:val="995"/>
    <w:link w:val="82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28">
    <w:name w:val="Heading 5 Char"/>
    <w:link w:val="827"/>
    <w:uiPriority w:val="9"/>
    <w:rPr>
      <w:rFonts w:ascii="Arial" w:hAnsi="Arial" w:eastAsia="Arial" w:cs="Arial"/>
      <w:b/>
      <w:bCs/>
      <w:sz w:val="24"/>
      <w:szCs w:val="24"/>
    </w:rPr>
  </w:style>
  <w:style w:type="paragraph" w:styleId="829">
    <w:name w:val="Heading 6"/>
    <w:basedOn w:val="995"/>
    <w:next w:val="995"/>
    <w:link w:val="83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30">
    <w:name w:val="Heading 6 Char"/>
    <w:link w:val="829"/>
    <w:uiPriority w:val="9"/>
    <w:rPr>
      <w:rFonts w:ascii="Arial" w:hAnsi="Arial" w:eastAsia="Arial" w:cs="Arial"/>
      <w:b/>
      <w:bCs/>
      <w:sz w:val="22"/>
      <w:szCs w:val="22"/>
    </w:rPr>
  </w:style>
  <w:style w:type="paragraph" w:styleId="831">
    <w:name w:val="Heading 7"/>
    <w:basedOn w:val="995"/>
    <w:next w:val="995"/>
    <w:link w:val="83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32">
    <w:name w:val="Heading 7 Char"/>
    <w:link w:val="83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33">
    <w:name w:val="Heading 8"/>
    <w:basedOn w:val="995"/>
    <w:next w:val="995"/>
    <w:link w:val="83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34">
    <w:name w:val="Heading 8 Char"/>
    <w:link w:val="833"/>
    <w:uiPriority w:val="9"/>
    <w:rPr>
      <w:rFonts w:ascii="Arial" w:hAnsi="Arial" w:eastAsia="Arial" w:cs="Arial"/>
      <w:i/>
      <w:iCs/>
      <w:sz w:val="22"/>
      <w:szCs w:val="22"/>
    </w:rPr>
  </w:style>
  <w:style w:type="paragraph" w:styleId="835">
    <w:name w:val="Heading 9"/>
    <w:basedOn w:val="995"/>
    <w:next w:val="995"/>
    <w:link w:val="83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36">
    <w:name w:val="Heading 9 Char"/>
    <w:link w:val="835"/>
    <w:uiPriority w:val="9"/>
    <w:rPr>
      <w:rFonts w:ascii="Arial" w:hAnsi="Arial" w:eastAsia="Arial" w:cs="Arial"/>
      <w:i/>
      <w:iCs/>
      <w:sz w:val="21"/>
      <w:szCs w:val="21"/>
    </w:rPr>
  </w:style>
  <w:style w:type="paragraph" w:styleId="837">
    <w:name w:val="Title"/>
    <w:basedOn w:val="995"/>
    <w:next w:val="995"/>
    <w:link w:val="83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38">
    <w:name w:val="Title Char"/>
    <w:link w:val="837"/>
    <w:uiPriority w:val="10"/>
    <w:rPr>
      <w:sz w:val="48"/>
      <w:szCs w:val="48"/>
    </w:rPr>
  </w:style>
  <w:style w:type="paragraph" w:styleId="839">
    <w:name w:val="Subtitle"/>
    <w:basedOn w:val="995"/>
    <w:next w:val="995"/>
    <w:link w:val="840"/>
    <w:uiPriority w:val="11"/>
    <w:qFormat/>
    <w:pPr>
      <w:spacing w:before="200" w:after="200"/>
    </w:pPr>
    <w:rPr>
      <w:sz w:val="24"/>
      <w:szCs w:val="24"/>
    </w:rPr>
  </w:style>
  <w:style w:type="character" w:styleId="840">
    <w:name w:val="Subtitle Char"/>
    <w:link w:val="839"/>
    <w:uiPriority w:val="11"/>
    <w:rPr>
      <w:sz w:val="24"/>
      <w:szCs w:val="24"/>
    </w:rPr>
  </w:style>
  <w:style w:type="paragraph" w:styleId="841">
    <w:name w:val="Quote"/>
    <w:basedOn w:val="995"/>
    <w:next w:val="995"/>
    <w:link w:val="842"/>
    <w:uiPriority w:val="29"/>
    <w:qFormat/>
    <w:pPr>
      <w:ind w:left="720" w:right="720"/>
    </w:pPr>
    <w:rPr>
      <w:i/>
    </w:rPr>
  </w:style>
  <w:style w:type="character" w:styleId="842">
    <w:name w:val="Quote Char"/>
    <w:link w:val="841"/>
    <w:uiPriority w:val="29"/>
    <w:rPr>
      <w:i/>
    </w:rPr>
  </w:style>
  <w:style w:type="paragraph" w:styleId="843">
    <w:name w:val="Intense Quote"/>
    <w:basedOn w:val="995"/>
    <w:next w:val="995"/>
    <w:link w:val="84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44">
    <w:name w:val="Intense Quote Char"/>
    <w:link w:val="843"/>
    <w:uiPriority w:val="30"/>
    <w:rPr>
      <w:i/>
    </w:rPr>
  </w:style>
  <w:style w:type="paragraph" w:styleId="845">
    <w:name w:val="Header"/>
    <w:basedOn w:val="995"/>
    <w:link w:val="8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46">
    <w:name w:val="Header Char"/>
    <w:link w:val="845"/>
    <w:uiPriority w:val="99"/>
  </w:style>
  <w:style w:type="paragraph" w:styleId="847">
    <w:name w:val="Footer"/>
    <w:basedOn w:val="995"/>
    <w:link w:val="85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48">
    <w:name w:val="Footer Char"/>
    <w:link w:val="847"/>
    <w:uiPriority w:val="99"/>
  </w:style>
  <w:style w:type="paragraph" w:styleId="849">
    <w:name w:val="Caption"/>
    <w:basedOn w:val="995"/>
    <w:next w:val="99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50">
    <w:name w:val="Caption Char"/>
    <w:basedOn w:val="849"/>
    <w:link w:val="847"/>
    <w:uiPriority w:val="99"/>
  </w:style>
  <w:style w:type="table" w:styleId="851">
    <w:name w:val="Table Grid"/>
    <w:basedOn w:val="99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2">
    <w:name w:val="Table Grid Light"/>
    <w:basedOn w:val="99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3">
    <w:name w:val="Plain Table 1"/>
    <w:basedOn w:val="99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4">
    <w:name w:val="Plain Table 2"/>
    <w:basedOn w:val="99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5">
    <w:name w:val="Plain Table 3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56">
    <w:name w:val="Plain Table 4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Plain Table 5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58">
    <w:name w:val="Grid Table 1 Light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Grid Table 1 Light - Accent 1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Grid Table 1 Light - Accent 2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Grid Table 1 Light - Accent 3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Grid Table 1 Light - Accent 4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Grid Table 1 Light - Accent 5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Grid Table 1 Light - Accent 6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Grid Table 2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2 - Accent 1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2 - Accent 2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2 - Accent 3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2 - Accent 4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Grid Table 2 - Accent 5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Grid Table 2 - Accent 6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Grid Table 3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Grid Table 3 - Accent 1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Grid Table 3 - Accent 2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Grid Table 3 - Accent 3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Grid Table 3 - Accent 4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Grid Table 3 - Accent 5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Grid Table 3 - Accent 6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Grid Table 4"/>
    <w:basedOn w:val="9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80">
    <w:name w:val="Grid Table 4 - Accent 1"/>
    <w:basedOn w:val="9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81">
    <w:name w:val="Grid Table 4 - Accent 2"/>
    <w:basedOn w:val="9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82">
    <w:name w:val="Grid Table 4 - Accent 3"/>
    <w:basedOn w:val="9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83">
    <w:name w:val="Grid Table 4 - Accent 4"/>
    <w:basedOn w:val="9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84">
    <w:name w:val="Grid Table 4 - Accent 5"/>
    <w:basedOn w:val="9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85">
    <w:name w:val="Grid Table 4 - Accent 6"/>
    <w:basedOn w:val="9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86">
    <w:name w:val="Grid Table 5 Dark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87">
    <w:name w:val="Grid Table 5 Dark- Accent 1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88">
    <w:name w:val="Grid Table 5 Dark - Accent 2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89">
    <w:name w:val="Grid Table 5 Dark - Accent 3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90">
    <w:name w:val="Grid Table 5 Dark- Accent 4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91">
    <w:name w:val="Grid Table 5 Dark - Accent 5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2">
    <w:name w:val="Grid Table 5 Dark - Accent 6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3">
    <w:name w:val="Grid Table 6 Colorful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4">
    <w:name w:val="Grid Table 6 Colorful - Accent 1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95">
    <w:name w:val="Grid Table 6 Colorful - Accent 2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96">
    <w:name w:val="Grid Table 6 Colorful - Accent 3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97">
    <w:name w:val="Grid Table 6 Colorful - Accent 4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98">
    <w:name w:val="Grid Table 6 Colorful - Accent 5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99">
    <w:name w:val="Grid Table 6 Colorful - Accent 6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00">
    <w:name w:val="Grid Table 7 Colorful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Grid Table 7 Colorful - Accent 1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Grid Table 7 Colorful - Accent 2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Grid Table 7 Colorful - Accent 3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Grid Table 7 Colorful - Accent 4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Grid Table 7 Colorful - Accent 5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Grid Table 7 Colorful - Accent 6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>
    <w:name w:val="List Table 1 Light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List Table 1 Light - Accent 1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>
    <w:name w:val="List Table 1 Light - Accent 2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>
    <w:name w:val="List Table 1 Light - Accent 3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>
    <w:name w:val="List Table 1 Light - Accent 4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>
    <w:name w:val="List Table 1 Light - Accent 5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>
    <w:name w:val="List Table 1 Light - Accent 6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>
    <w:name w:val="List Table 2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15">
    <w:name w:val="List Table 2 - Accent 1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16">
    <w:name w:val="List Table 2 - Accent 2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17">
    <w:name w:val="List Table 2 - Accent 3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18">
    <w:name w:val="List Table 2 - Accent 4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19">
    <w:name w:val="List Table 2 - Accent 5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20">
    <w:name w:val="List Table 2 - Accent 6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21">
    <w:name w:val="List Table 3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>
    <w:name w:val="List Table 3 - Accent 1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>
    <w:name w:val="List Table 3 - Accent 2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>
    <w:name w:val="List Table 3 - Accent 3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>
    <w:name w:val="List Table 3 - Accent 4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>
    <w:name w:val="List Table 3 - Accent 5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>
    <w:name w:val="List Table 3 - Accent 6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>
    <w:name w:val="List Table 4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>
    <w:name w:val="List Table 4 - Accent 1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>
    <w:name w:val="List Table 4 - Accent 2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>
    <w:name w:val="List Table 4 - Accent 3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>
    <w:name w:val="List Table 4 - Accent 4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>
    <w:name w:val="List Table 4 - Accent 5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>
    <w:name w:val="List Table 4 - Accent 6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>
    <w:name w:val="List Table 5 Dark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6">
    <w:name w:val="List Table 5 Dark - Accent 1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7">
    <w:name w:val="List Table 5 Dark - Accent 2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8">
    <w:name w:val="List Table 5 Dark - Accent 3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9">
    <w:name w:val="List Table 5 Dark - Accent 4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0">
    <w:name w:val="List Table 5 Dark - Accent 5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1">
    <w:name w:val="List Table 5 Dark - Accent 6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2">
    <w:name w:val="List Table 6 Colorful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43">
    <w:name w:val="List Table 6 Colorful - Accent 1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44">
    <w:name w:val="List Table 6 Colorful - Accent 2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45">
    <w:name w:val="List Table 6 Colorful - Accent 3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46">
    <w:name w:val="List Table 6 Colorful - Accent 4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47">
    <w:name w:val="List Table 6 Colorful - Accent 5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48">
    <w:name w:val="List Table 6 Colorful - Accent 6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49">
    <w:name w:val="List Table 7 Colorful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50">
    <w:name w:val="List Table 7 Colorful - Accent 1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51">
    <w:name w:val="List Table 7 Colorful - Accent 2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52">
    <w:name w:val="List Table 7 Colorful - Accent 3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53">
    <w:name w:val="List Table 7 Colorful - Accent 4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54">
    <w:name w:val="List Table 7 Colorful - Accent 5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55">
    <w:name w:val="List Table 7 Colorful - Accent 6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56">
    <w:name w:val="Lined - Accent"/>
    <w:basedOn w:val="9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57">
    <w:name w:val="Lined - Accent 1"/>
    <w:basedOn w:val="9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58">
    <w:name w:val="Lined - Accent 2"/>
    <w:basedOn w:val="9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59">
    <w:name w:val="Lined - Accent 3"/>
    <w:basedOn w:val="9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60">
    <w:name w:val="Lined - Accent 4"/>
    <w:basedOn w:val="9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61">
    <w:name w:val="Lined - Accent 5"/>
    <w:basedOn w:val="9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62">
    <w:name w:val="Lined - Accent 6"/>
    <w:basedOn w:val="9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63">
    <w:name w:val="Bordered &amp; Lined - Accent"/>
    <w:basedOn w:val="9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64">
    <w:name w:val="Bordered &amp; Lined - Accent 1"/>
    <w:basedOn w:val="9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65">
    <w:name w:val="Bordered &amp; Lined - Accent 2"/>
    <w:basedOn w:val="9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66">
    <w:name w:val="Bordered &amp; Lined - Accent 3"/>
    <w:basedOn w:val="9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67">
    <w:name w:val="Bordered &amp; Lined - Accent 4"/>
    <w:basedOn w:val="9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68">
    <w:name w:val="Bordered &amp; Lined - Accent 5"/>
    <w:basedOn w:val="9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69">
    <w:name w:val="Bordered &amp; Lined - Accent 6"/>
    <w:basedOn w:val="9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70">
    <w:name w:val="Bordered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71">
    <w:name w:val="Bordered - Accent 1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72">
    <w:name w:val="Bordered - Accent 2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73">
    <w:name w:val="Bordered - Accent 3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74">
    <w:name w:val="Bordered - Accent 4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75">
    <w:name w:val="Bordered - Accent 5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76">
    <w:name w:val="Bordered - Accent 6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77">
    <w:name w:val="Hyperlink"/>
    <w:uiPriority w:val="99"/>
    <w:unhideWhenUsed/>
    <w:rPr>
      <w:color w:val="0000ff" w:themeColor="hyperlink"/>
      <w:u w:val="single"/>
    </w:rPr>
  </w:style>
  <w:style w:type="paragraph" w:styleId="978">
    <w:name w:val="footnote text"/>
    <w:basedOn w:val="995"/>
    <w:link w:val="979"/>
    <w:uiPriority w:val="99"/>
    <w:semiHidden/>
    <w:unhideWhenUsed/>
    <w:pPr>
      <w:spacing w:after="40" w:line="240" w:lineRule="auto"/>
    </w:pPr>
    <w:rPr>
      <w:sz w:val="18"/>
    </w:rPr>
  </w:style>
  <w:style w:type="character" w:styleId="979">
    <w:name w:val="Footnote Text Char"/>
    <w:link w:val="978"/>
    <w:uiPriority w:val="99"/>
    <w:rPr>
      <w:sz w:val="18"/>
    </w:rPr>
  </w:style>
  <w:style w:type="character" w:styleId="980">
    <w:name w:val="footnote reference"/>
    <w:uiPriority w:val="99"/>
    <w:unhideWhenUsed/>
    <w:rPr>
      <w:vertAlign w:val="superscript"/>
    </w:rPr>
  </w:style>
  <w:style w:type="paragraph" w:styleId="981">
    <w:name w:val="endnote text"/>
    <w:basedOn w:val="995"/>
    <w:link w:val="982"/>
    <w:uiPriority w:val="99"/>
    <w:semiHidden/>
    <w:unhideWhenUsed/>
    <w:pPr>
      <w:spacing w:after="0" w:line="240" w:lineRule="auto"/>
    </w:pPr>
    <w:rPr>
      <w:sz w:val="20"/>
    </w:rPr>
  </w:style>
  <w:style w:type="character" w:styleId="982">
    <w:name w:val="Endnote Text Char"/>
    <w:link w:val="981"/>
    <w:uiPriority w:val="99"/>
    <w:rPr>
      <w:sz w:val="20"/>
    </w:rPr>
  </w:style>
  <w:style w:type="character" w:styleId="983">
    <w:name w:val="endnote reference"/>
    <w:uiPriority w:val="99"/>
    <w:semiHidden/>
    <w:unhideWhenUsed/>
    <w:rPr>
      <w:vertAlign w:val="superscript"/>
    </w:rPr>
  </w:style>
  <w:style w:type="paragraph" w:styleId="984">
    <w:name w:val="toc 1"/>
    <w:basedOn w:val="995"/>
    <w:next w:val="995"/>
    <w:uiPriority w:val="39"/>
    <w:unhideWhenUsed/>
    <w:pPr>
      <w:ind w:left="0" w:right="0" w:firstLine="0"/>
      <w:spacing w:after="57"/>
    </w:pPr>
  </w:style>
  <w:style w:type="paragraph" w:styleId="985">
    <w:name w:val="toc 2"/>
    <w:basedOn w:val="995"/>
    <w:next w:val="995"/>
    <w:uiPriority w:val="39"/>
    <w:unhideWhenUsed/>
    <w:pPr>
      <w:ind w:left="283" w:right="0" w:firstLine="0"/>
      <w:spacing w:after="57"/>
    </w:pPr>
  </w:style>
  <w:style w:type="paragraph" w:styleId="986">
    <w:name w:val="toc 3"/>
    <w:basedOn w:val="995"/>
    <w:next w:val="995"/>
    <w:uiPriority w:val="39"/>
    <w:unhideWhenUsed/>
    <w:pPr>
      <w:ind w:left="567" w:right="0" w:firstLine="0"/>
      <w:spacing w:after="57"/>
    </w:pPr>
  </w:style>
  <w:style w:type="paragraph" w:styleId="987">
    <w:name w:val="toc 4"/>
    <w:basedOn w:val="995"/>
    <w:next w:val="995"/>
    <w:uiPriority w:val="39"/>
    <w:unhideWhenUsed/>
    <w:pPr>
      <w:ind w:left="850" w:right="0" w:firstLine="0"/>
      <w:spacing w:after="57"/>
    </w:pPr>
  </w:style>
  <w:style w:type="paragraph" w:styleId="988">
    <w:name w:val="toc 5"/>
    <w:basedOn w:val="995"/>
    <w:next w:val="995"/>
    <w:uiPriority w:val="39"/>
    <w:unhideWhenUsed/>
    <w:pPr>
      <w:ind w:left="1134" w:right="0" w:firstLine="0"/>
      <w:spacing w:after="57"/>
    </w:pPr>
  </w:style>
  <w:style w:type="paragraph" w:styleId="989">
    <w:name w:val="toc 6"/>
    <w:basedOn w:val="995"/>
    <w:next w:val="995"/>
    <w:uiPriority w:val="39"/>
    <w:unhideWhenUsed/>
    <w:pPr>
      <w:ind w:left="1417" w:right="0" w:firstLine="0"/>
      <w:spacing w:after="57"/>
    </w:pPr>
  </w:style>
  <w:style w:type="paragraph" w:styleId="990">
    <w:name w:val="toc 7"/>
    <w:basedOn w:val="995"/>
    <w:next w:val="995"/>
    <w:uiPriority w:val="39"/>
    <w:unhideWhenUsed/>
    <w:pPr>
      <w:ind w:left="1701" w:right="0" w:firstLine="0"/>
      <w:spacing w:after="57"/>
    </w:pPr>
  </w:style>
  <w:style w:type="paragraph" w:styleId="991">
    <w:name w:val="toc 8"/>
    <w:basedOn w:val="995"/>
    <w:next w:val="995"/>
    <w:uiPriority w:val="39"/>
    <w:unhideWhenUsed/>
    <w:pPr>
      <w:ind w:left="1984" w:right="0" w:firstLine="0"/>
      <w:spacing w:after="57"/>
    </w:pPr>
  </w:style>
  <w:style w:type="paragraph" w:styleId="992">
    <w:name w:val="toc 9"/>
    <w:basedOn w:val="995"/>
    <w:next w:val="995"/>
    <w:uiPriority w:val="39"/>
    <w:unhideWhenUsed/>
    <w:pPr>
      <w:ind w:left="2268" w:right="0" w:firstLine="0"/>
      <w:spacing w:after="57"/>
    </w:pPr>
  </w:style>
  <w:style w:type="paragraph" w:styleId="993">
    <w:name w:val="TOC Heading"/>
    <w:uiPriority w:val="39"/>
    <w:unhideWhenUsed/>
  </w:style>
  <w:style w:type="paragraph" w:styleId="994">
    <w:name w:val="table of figures"/>
    <w:basedOn w:val="995"/>
    <w:next w:val="995"/>
    <w:uiPriority w:val="99"/>
    <w:unhideWhenUsed/>
    <w:pPr>
      <w:spacing w:after="0" w:afterAutospacing="0"/>
    </w:pPr>
  </w:style>
  <w:style w:type="paragraph" w:styleId="995" w:default="1">
    <w:name w:val="Normal"/>
    <w:qFormat/>
  </w:style>
  <w:style w:type="table" w:styleId="99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97" w:default="1">
    <w:name w:val="No List"/>
    <w:uiPriority w:val="99"/>
    <w:semiHidden/>
    <w:unhideWhenUsed/>
  </w:style>
  <w:style w:type="paragraph" w:styleId="998">
    <w:name w:val="No Spacing"/>
    <w:basedOn w:val="995"/>
    <w:uiPriority w:val="1"/>
    <w:qFormat/>
    <w:pPr>
      <w:spacing w:after="0" w:line="240" w:lineRule="auto"/>
    </w:pPr>
  </w:style>
  <w:style w:type="paragraph" w:styleId="999">
    <w:name w:val="List Paragraph"/>
    <w:basedOn w:val="995"/>
    <w:uiPriority w:val="34"/>
    <w:qFormat/>
    <w:pPr>
      <w:contextualSpacing/>
      <w:ind w:left="720"/>
    </w:pPr>
  </w:style>
  <w:style w:type="character" w:styleId="1000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hyperlink" Target="https://data.stat.gov.rs/Home/Result/11020301?languageCode=sr-Cyrl" TargetMode="External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image" Target="media/image8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ONLYOFFICE/7.3.0.184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2025-01-09T10:38:05Z</dcterms:modified>
</cp:coreProperties>
</file>